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050"/>
        <w:gridCol w:w="1440"/>
        <w:gridCol w:w="1710"/>
        <w:gridCol w:w="1891"/>
      </w:tblGrid>
      <w:tr w:rsidR="00180DB3" w:rsidRPr="0083500F" w:rsidTr="0083500F">
        <w:trPr>
          <w:trHeight w:val="64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80DB3" w:rsidRPr="0083500F" w:rsidRDefault="00180DB3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bookmarkStart w:id="0" w:name="_GoBack"/>
            <w:bookmarkEnd w:id="0"/>
            <w:r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Procedure Code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80DB3" w:rsidRPr="0083500F" w:rsidRDefault="00180DB3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80DB3" w:rsidRPr="0083500F" w:rsidRDefault="00180DB3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Pricing</w:t>
            </w:r>
          </w:p>
          <w:p w:rsidR="00180DB3" w:rsidRPr="0083500F" w:rsidRDefault="00180DB3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Modifier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180DB3" w:rsidRPr="0083500F" w:rsidRDefault="0083500F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000000" w:themeFill="text1"/>
              </w:rPr>
              <w:t xml:space="preserve">Information </w:t>
            </w:r>
            <w:r w:rsidR="00180DB3"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000000" w:themeFill="text1"/>
              </w:rPr>
              <w:t>Modif</w:t>
            </w:r>
            <w:r w:rsidR="00180DB3" w:rsidRPr="0083500F">
              <w:rPr>
                <w:rFonts w:ascii="Verdana" w:eastAsia="Times New Roman" w:hAnsi="Verdana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ier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80DB3" w:rsidRPr="0083500F" w:rsidRDefault="0083500F" w:rsidP="0083500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sz w:val="20"/>
                <w:szCs w:val="20"/>
              </w:rPr>
              <w:t>Applies to</w:t>
            </w:r>
          </w:p>
        </w:tc>
      </w:tr>
      <w:tr w:rsidR="0083500F" w:rsidRPr="0083500F" w:rsidTr="0083500F">
        <w:trPr>
          <w:trHeight w:val="15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96150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 xml:space="preserve">Health and behavior assessment (e.g. health-focused clinical interview, behavioral observations, psychophysiological monitoring, health-oriented questionnaires) each 30 minutes, face-to-face with the patient; </w:t>
            </w:r>
            <w:r w:rsidRPr="0083500F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</w:rPr>
              <w:t>initial assessment</w:t>
            </w: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U3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>Physician, CRNP, PA, Outpatient Hospital Clinics, Inpatient Surgical Clinics</w:t>
            </w:r>
          </w:p>
        </w:tc>
      </w:tr>
      <w:tr w:rsidR="0083500F" w:rsidRPr="0083500F" w:rsidTr="0083500F">
        <w:trPr>
          <w:trHeight w:val="153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96151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 xml:space="preserve">Health and behavior assessment (e.g. health-focused clinical interview, behavioral observations, psychophysiological monitoring, health-oriented questionnaires) each 30 minutes, face-to-face with the patient; </w:t>
            </w:r>
            <w:r w:rsidRPr="0083500F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</w:rPr>
              <w:t>re-assessment</w:t>
            </w: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>Physician, CRNP, PA, Outpatient Hospital Clinics, Inpatient Surgical Clinics</w:t>
            </w:r>
          </w:p>
        </w:tc>
      </w:tr>
      <w:tr w:rsidR="0083500F" w:rsidRPr="0083500F" w:rsidTr="0083500F">
        <w:trPr>
          <w:trHeight w:val="64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96152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Health and behavior intervention, each 15 minutes, face-to face; individual.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U3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Pr="0083500F" w:rsidRDefault="0083500F" w:rsidP="0083500F">
            <w:pPr>
              <w:rPr>
                <w:rFonts w:ascii="Verdana" w:hAnsi="Verdana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>Physician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 PA</w:t>
            </w: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CRNP, RN,</w:t>
            </w: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 xml:space="preserve"> Outpatient Hospital Clinics, Inpatient Surgical Clinics</w:t>
            </w:r>
          </w:p>
        </w:tc>
      </w:tr>
      <w:tr w:rsidR="0083500F" w:rsidRPr="0083500F" w:rsidTr="0083500F">
        <w:trPr>
          <w:trHeight w:val="64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96153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Health and behavior intervention, each 15 minutes, face-to-face; group (2 or more patients).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Default="0083500F" w:rsidP="0083500F">
            <w:r w:rsidRPr="00376A29">
              <w:rPr>
                <w:rFonts w:ascii="Verdana" w:eastAsia="Times New Roman" w:hAnsi="Verdana" w:cs="Arial"/>
                <w:sz w:val="20"/>
                <w:szCs w:val="20"/>
              </w:rPr>
              <w:t>Physician, PA, CRNP, RN, Outpatient Hospital Clinics, Inpatient Surgical Clinics</w:t>
            </w:r>
          </w:p>
        </w:tc>
      </w:tr>
      <w:tr w:rsidR="0083500F" w:rsidRPr="0083500F" w:rsidTr="0083500F">
        <w:trPr>
          <w:trHeight w:val="64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96154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Health and behavior intervention, each 15 minutes, face-to-face; family (with the patient present).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Default="0083500F" w:rsidP="0083500F">
            <w:r w:rsidRPr="00376A29">
              <w:rPr>
                <w:rFonts w:ascii="Verdana" w:eastAsia="Times New Roman" w:hAnsi="Verdana" w:cs="Arial"/>
                <w:sz w:val="20"/>
                <w:szCs w:val="20"/>
              </w:rPr>
              <w:t>Physician, PA, CRNP, RN, Outpatient Hospital Clinics, Inpatient Surgical Clinics</w:t>
            </w:r>
          </w:p>
        </w:tc>
      </w:tr>
      <w:tr w:rsidR="0083500F" w:rsidRPr="0083500F" w:rsidTr="0083500F">
        <w:trPr>
          <w:trHeight w:val="42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S9470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Nutritional counseling, dietitian visit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Theme="minorEastAsia" w:hAnsi="Verdana" w:cs="Arial"/>
                <w:color w:val="000000" w:themeColor="text1"/>
                <w:kern w:val="24"/>
                <w:sz w:val="20"/>
                <w:szCs w:val="20"/>
              </w:rPr>
              <w:t>U3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</w:rPr>
              <w:t>TJ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83500F" w:rsidRPr="0083500F" w:rsidRDefault="0083500F" w:rsidP="008350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3500F">
              <w:rPr>
                <w:rFonts w:ascii="Verdana" w:eastAsia="Times New Roman" w:hAnsi="Verdana" w:cs="Arial"/>
                <w:sz w:val="20"/>
                <w:szCs w:val="20"/>
              </w:rPr>
              <w:t>RD</w:t>
            </w:r>
          </w:p>
        </w:tc>
      </w:tr>
    </w:tbl>
    <w:p w:rsidR="00912A36" w:rsidRPr="0083500F" w:rsidRDefault="00912A36" w:rsidP="0083500F">
      <w:pPr>
        <w:rPr>
          <w:sz w:val="20"/>
          <w:szCs w:val="20"/>
        </w:rPr>
      </w:pPr>
    </w:p>
    <w:p w:rsidR="00AB3DE7" w:rsidRPr="0083500F" w:rsidRDefault="004D2A9F" w:rsidP="00AB3DE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Verdana" w:hAnsi="Verdana"/>
          <w:color w:val="0000CC"/>
          <w:sz w:val="20"/>
          <w:szCs w:val="20"/>
        </w:rPr>
      </w:pP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I</w:t>
      </w:r>
      <w:r w:rsidR="00AB3DE7"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>nclude appropriate obesity-related diagnosis E-code with t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he accompanying Z-code for child’s</w:t>
      </w:r>
      <w:r w:rsidR="00AB3DE7"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BMI percentile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when billing for the initial and </w:t>
      </w:r>
      <w:r w:rsidR="00140ADE">
        <w:rPr>
          <w:rFonts w:ascii="Verdana" w:eastAsiaTheme="minorEastAsia" w:hAnsi="Verdana" w:cstheme="minorBidi"/>
          <w:color w:val="000000" w:themeColor="text1"/>
          <w:sz w:val="20"/>
          <w:szCs w:val="20"/>
        </w:rPr>
        <w:t>re-</w:t>
      </w:r>
      <w:r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>assessment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s</w:t>
      </w:r>
      <w:r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</w:t>
      </w:r>
    </w:p>
    <w:p w:rsidR="00B375D6" w:rsidRPr="00B375D6" w:rsidRDefault="00B375D6" w:rsidP="00B375D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Verdana" w:hAnsi="Verdana"/>
          <w:color w:val="0000CC"/>
          <w:sz w:val="20"/>
          <w:szCs w:val="20"/>
        </w:rPr>
      </w:pPr>
      <w:r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>Initial assessments and re-assessments can be billed</w:t>
      </w:r>
      <w:r w:rsidR="004D2A9F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on the same day as EPSDT visits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and individual, group, or family weight management counseling</w:t>
      </w:r>
    </w:p>
    <w:p w:rsidR="004D2A9F" w:rsidRDefault="004D2A9F" w:rsidP="00B375D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Childhood Nutrition and Weight Management Services</w:t>
      </w:r>
      <w:r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(</w:t>
      </w:r>
      <w:r w:rsidR="00B375D6" w:rsidRPr="00B375D6">
        <w:rPr>
          <w:rFonts w:ascii="Verdana" w:hAnsi="Verdana"/>
          <w:sz w:val="20"/>
          <w:szCs w:val="20"/>
        </w:rPr>
        <w:t>CNWMS</w:t>
      </w:r>
      <w:r>
        <w:rPr>
          <w:rFonts w:ascii="Verdana" w:hAnsi="Verdana"/>
          <w:sz w:val="20"/>
          <w:szCs w:val="20"/>
        </w:rPr>
        <w:t>)</w:t>
      </w:r>
      <w:r w:rsidR="00B375D6" w:rsidRPr="00B375D6">
        <w:rPr>
          <w:rFonts w:ascii="Verdana" w:hAnsi="Verdana"/>
          <w:sz w:val="20"/>
          <w:szCs w:val="20"/>
        </w:rPr>
        <w:t xml:space="preserve"> may be billed on the same day as office</w:t>
      </w:r>
      <w:r w:rsidR="00140ADE">
        <w:rPr>
          <w:rFonts w:ascii="Verdana" w:hAnsi="Verdana"/>
          <w:sz w:val="20"/>
          <w:szCs w:val="20"/>
        </w:rPr>
        <w:t xml:space="preserve"> or</w:t>
      </w:r>
      <w:r w:rsidR="00B375D6">
        <w:rPr>
          <w:rFonts w:ascii="Verdana" w:hAnsi="Verdana"/>
          <w:sz w:val="20"/>
          <w:szCs w:val="20"/>
        </w:rPr>
        <w:t xml:space="preserve"> clinic visits</w:t>
      </w:r>
      <w:r>
        <w:rPr>
          <w:rFonts w:ascii="Verdana" w:hAnsi="Verdana"/>
          <w:sz w:val="20"/>
          <w:szCs w:val="20"/>
        </w:rPr>
        <w:t xml:space="preserve"> unrelated to nutrition and weight management </w:t>
      </w:r>
    </w:p>
    <w:p w:rsidR="00AB3DE7" w:rsidRPr="004D2A9F" w:rsidRDefault="004D2A9F" w:rsidP="004D2A9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Verdana" w:hAnsi="Verdana"/>
          <w:color w:val="0000CC"/>
          <w:sz w:val="20"/>
          <w:szCs w:val="20"/>
        </w:rPr>
      </w:pP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FQHCs and RHCs may </w:t>
      </w:r>
      <w:r w:rsidR="00140ADE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only 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bill the Medicaid Assistance Program for one medical visit per child per day for</w:t>
      </w:r>
      <w:r w:rsidRPr="0083500F">
        <w:rPr>
          <w:rFonts w:ascii="Verdana" w:eastAsiaTheme="minorEastAsia" w:hAnsi="Verdana" w:cstheme="minorBidi"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sz w:val="20"/>
          <w:szCs w:val="20"/>
        </w:rPr>
        <w:t>CNWMS</w:t>
      </w:r>
    </w:p>
    <w:sectPr w:rsidR="00AB3DE7" w:rsidRPr="004D2A9F" w:rsidSect="00AB3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95" w:rsidRDefault="004A1E95" w:rsidP="00AB3DE7">
      <w:pPr>
        <w:spacing w:after="0" w:line="240" w:lineRule="auto"/>
      </w:pPr>
      <w:r>
        <w:separator/>
      </w:r>
    </w:p>
  </w:endnote>
  <w:endnote w:type="continuationSeparator" w:id="0">
    <w:p w:rsidR="004A1E95" w:rsidRDefault="004A1E95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4" w:rsidRDefault="00A56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E7" w:rsidRPr="00AB3DE7" w:rsidRDefault="00A567C4" w:rsidP="00AB3DE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</w:t>
    </w:r>
    <w:r w:rsidR="00AB3DE7">
      <w:rPr>
        <w:sz w:val="20"/>
        <w:szCs w:val="20"/>
      </w:rP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4" w:rsidRDefault="00A5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95" w:rsidRDefault="004A1E95" w:rsidP="00AB3DE7">
      <w:pPr>
        <w:spacing w:after="0" w:line="240" w:lineRule="auto"/>
      </w:pPr>
      <w:r>
        <w:separator/>
      </w:r>
    </w:p>
  </w:footnote>
  <w:footnote w:type="continuationSeparator" w:id="0">
    <w:p w:rsidR="004A1E95" w:rsidRDefault="004A1E95" w:rsidP="00AB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4" w:rsidRDefault="00A56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E7" w:rsidRPr="00AB3DE7" w:rsidRDefault="00AB3DE7" w:rsidP="00AB3DE7">
    <w:pPr>
      <w:pStyle w:val="Header"/>
      <w:jc w:val="center"/>
      <w:rPr>
        <w:color w:val="000000" w:themeColor="text1"/>
        <w:sz w:val="24"/>
        <w:szCs w:val="24"/>
      </w:rPr>
    </w:pPr>
    <w:r w:rsidRPr="00AB3DE7">
      <w:rPr>
        <w:rFonts w:asciiTheme="majorHAnsi" w:eastAsiaTheme="majorEastAsia" w:hAnsi="Arial" w:cstheme="majorBidi"/>
        <w:b/>
        <w:bCs/>
        <w:color w:val="000000" w:themeColor="text1"/>
        <w:sz w:val="24"/>
        <w:szCs w:val="24"/>
      </w:rPr>
      <w:t xml:space="preserve">PA Medicaid </w:t>
    </w:r>
    <w:r w:rsidRPr="00AB3DE7">
      <w:rPr>
        <w:rFonts w:asciiTheme="majorHAnsi" w:eastAsiaTheme="majorEastAsia" w:hAnsi="Arial" w:cstheme="majorBidi"/>
        <w:b/>
        <w:bCs/>
        <w:color w:val="000000" w:themeColor="text1"/>
        <w:sz w:val="24"/>
        <w:szCs w:val="24"/>
      </w:rPr>
      <w:br/>
      <w:t>Childhood Nutrition &amp; Weight Management Services</w:t>
    </w:r>
    <w:r>
      <w:rPr>
        <w:rFonts w:asciiTheme="majorHAnsi" w:eastAsiaTheme="majorEastAsia" w:hAnsi="Arial" w:cstheme="majorBidi"/>
        <w:b/>
        <w:bCs/>
        <w:color w:val="000000" w:themeColor="text1"/>
        <w:sz w:val="24"/>
        <w:szCs w:val="24"/>
      </w:rPr>
      <w:t xml:space="preserve"> - </w:t>
    </w:r>
    <w:r w:rsidRPr="00AB3DE7">
      <w:rPr>
        <w:rFonts w:asciiTheme="majorHAnsi" w:eastAsiaTheme="majorEastAsia" w:hAnsi="Arial" w:cstheme="majorBidi"/>
        <w:b/>
        <w:bCs/>
        <w:color w:val="000000" w:themeColor="text1"/>
        <w:sz w:val="24"/>
        <w:szCs w:val="24"/>
      </w:rPr>
      <w:t>Billing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4" w:rsidRDefault="00A56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D17"/>
    <w:multiLevelType w:val="hybridMultilevel"/>
    <w:tmpl w:val="5C4C5E0C"/>
    <w:lvl w:ilvl="0" w:tplc="90B037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3CC4B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024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C94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675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66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97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E7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33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E7"/>
    <w:rsid w:val="00140ADE"/>
    <w:rsid w:val="00180DB3"/>
    <w:rsid w:val="001D25E6"/>
    <w:rsid w:val="00217F7C"/>
    <w:rsid w:val="004A1E95"/>
    <w:rsid w:val="004D2A9F"/>
    <w:rsid w:val="005C46E1"/>
    <w:rsid w:val="0083500F"/>
    <w:rsid w:val="00912A36"/>
    <w:rsid w:val="00997796"/>
    <w:rsid w:val="009A4426"/>
    <w:rsid w:val="00A567C4"/>
    <w:rsid w:val="00AB3DE7"/>
    <w:rsid w:val="00B375D6"/>
    <w:rsid w:val="00DC770A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7"/>
  </w:style>
  <w:style w:type="paragraph" w:styleId="Footer">
    <w:name w:val="footer"/>
    <w:basedOn w:val="Normal"/>
    <w:link w:val="FooterChar"/>
    <w:uiPriority w:val="99"/>
    <w:unhideWhenUsed/>
    <w:rsid w:val="00A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7"/>
  </w:style>
  <w:style w:type="paragraph" w:styleId="Footer">
    <w:name w:val="footer"/>
    <w:basedOn w:val="Normal"/>
    <w:link w:val="FooterChar"/>
    <w:uiPriority w:val="99"/>
    <w:unhideWhenUsed/>
    <w:rsid w:val="00A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63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14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3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PAAAP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Wishner</dc:creator>
  <cp:lastModifiedBy>Amy Wishner</cp:lastModifiedBy>
  <cp:revision>2</cp:revision>
  <dcterms:created xsi:type="dcterms:W3CDTF">2017-05-18T09:10:00Z</dcterms:created>
  <dcterms:modified xsi:type="dcterms:W3CDTF">2017-05-18T09:10:00Z</dcterms:modified>
</cp:coreProperties>
</file>